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6C33E" w14:textId="4B25B45D" w:rsidR="00616AD0" w:rsidRDefault="00616AD0" w:rsidP="00616AD0">
      <w:pPr>
        <w:tabs>
          <w:tab w:val="center" w:pos="4536"/>
          <w:tab w:val="right" w:pos="8280"/>
          <w:tab w:val="right" w:pos="9639"/>
        </w:tabs>
        <w:ind w:right="20"/>
        <w:rPr>
          <w:rFonts w:ascii="Arial" w:hAnsi="Arial" w:cs="Arial"/>
          <w:b/>
          <w:bCs/>
        </w:rPr>
      </w:pPr>
      <w:r>
        <w:rPr>
          <w:rFonts w:ascii="Arial" w:hAnsi="Arial" w:cs="Arial"/>
          <w:b/>
          <w:bCs/>
        </w:rPr>
        <w:t>3G</w:t>
      </w:r>
      <w:r w:rsidRPr="000E0207">
        <w:rPr>
          <w:rFonts w:ascii="Arial" w:hAnsi="Arial" w:cs="Arial"/>
          <w:b/>
          <w:bCs/>
        </w:rPr>
        <w:t xml:space="preserve">PP TSG RAN WG1 </w:t>
      </w:r>
      <w:r w:rsidRPr="00AA1B14">
        <w:rPr>
          <w:rFonts w:ascii="Arial" w:hAnsi="Arial" w:cs="Arial"/>
          <w:b/>
          <w:bCs/>
        </w:rPr>
        <w:t>#106-e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Pr="00644FA5">
        <w:rPr>
          <w:rFonts w:ascii="Arial" w:hAnsi="Arial" w:cs="Arial"/>
          <w:b/>
          <w:bCs/>
        </w:rPr>
        <w:t>R1-21077</w:t>
      </w:r>
      <w:r>
        <w:rPr>
          <w:rFonts w:ascii="Arial" w:hAnsi="Arial" w:cs="Arial"/>
          <w:b/>
          <w:bCs/>
        </w:rPr>
        <w:t>69</w:t>
      </w:r>
    </w:p>
    <w:p w14:paraId="43ACDA52" w14:textId="77777777" w:rsidR="00616AD0" w:rsidRPr="00AA1B14" w:rsidRDefault="00616AD0" w:rsidP="00616AD0">
      <w:pPr>
        <w:tabs>
          <w:tab w:val="center" w:pos="4536"/>
          <w:tab w:val="right" w:pos="8280"/>
          <w:tab w:val="right" w:pos="9639"/>
        </w:tabs>
        <w:ind w:right="20"/>
        <w:rPr>
          <w:rFonts w:ascii="Arial" w:hAnsi="Arial" w:cs="Arial"/>
          <w:b/>
          <w:bCs/>
        </w:rPr>
      </w:pPr>
      <w:r w:rsidRPr="00AA1B14">
        <w:rPr>
          <w:rFonts w:ascii="Arial" w:hAnsi="Arial" w:cs="Arial"/>
          <w:b/>
          <w:bCs/>
        </w:rPr>
        <w:t>e-Meeting, August 16th – 27th,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678134EF"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8A5DAB">
        <w:rPr>
          <w:sz w:val="22"/>
          <w:szCs w:val="22"/>
        </w:rPr>
        <w:t>14.</w:t>
      </w:r>
      <w:r w:rsidR="00CA1CD0">
        <w:rPr>
          <w:sz w:val="22"/>
          <w:szCs w:val="22"/>
        </w:rPr>
        <w:t>2</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0FB75795" w:rsidR="002B7720" w:rsidRDefault="002E2FF6" w:rsidP="002E2FF6">
      <w:pPr>
        <w:pStyle w:val="3GPPHeader"/>
        <w:rPr>
          <w:sz w:val="22"/>
          <w:szCs w:val="22"/>
        </w:rPr>
      </w:pPr>
      <w:r w:rsidRPr="00315C6E">
        <w:rPr>
          <w:sz w:val="22"/>
          <w:szCs w:val="22"/>
        </w:rPr>
        <w:t>Title:</w:t>
      </w:r>
      <w:r w:rsidRPr="00315C6E">
        <w:rPr>
          <w:sz w:val="22"/>
          <w:szCs w:val="22"/>
        </w:rPr>
        <w:tab/>
      </w:r>
      <w:r w:rsidR="0061628A" w:rsidRPr="0049159F">
        <w:rPr>
          <w:sz w:val="22"/>
          <w:szCs w:val="22"/>
        </w:rPr>
        <w:t>Considerations on XR evaluation methodology</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3863C09D" w14:textId="55013D6C" w:rsidR="0025204E" w:rsidRDefault="002E2FF6" w:rsidP="0036290B">
      <w:pPr>
        <w:pStyle w:val="Heading1"/>
      </w:pPr>
      <w:bookmarkStart w:id="0" w:name="_Toc54284037"/>
      <w:r>
        <w:t xml:space="preserve">1. </w:t>
      </w:r>
      <w:r w:rsidRPr="00315C6E">
        <w:t>Introduction</w:t>
      </w:r>
      <w:bookmarkEnd w:id="0"/>
    </w:p>
    <w:p w14:paraId="1B6F6D04" w14:textId="6D0BA345" w:rsidR="002E2FF6" w:rsidRPr="00D3765F" w:rsidRDefault="0036290B" w:rsidP="002E2FF6">
      <w:pPr>
        <w:rPr>
          <w:sz w:val="20"/>
          <w:szCs w:val="20"/>
          <w:lang w:eastAsia="zh-CN"/>
        </w:rPr>
      </w:pPr>
      <w:r w:rsidRPr="00D3765F">
        <w:rPr>
          <w:sz w:val="20"/>
          <w:szCs w:val="20"/>
          <w:lang w:eastAsia="zh-CN"/>
        </w:rPr>
        <w:t>At RAN1 #10</w:t>
      </w:r>
      <w:r w:rsidR="009E79B8">
        <w:rPr>
          <w:sz w:val="20"/>
          <w:szCs w:val="20"/>
          <w:lang w:eastAsia="zh-CN"/>
        </w:rPr>
        <w:t>4</w:t>
      </w:r>
      <w:r w:rsidR="00E72CBE">
        <w:rPr>
          <w:sz w:val="20"/>
          <w:szCs w:val="20"/>
          <w:lang w:eastAsia="zh-CN"/>
        </w:rPr>
        <w:t>bis</w:t>
      </w:r>
      <w:r w:rsidRPr="00D3765F">
        <w:rPr>
          <w:sz w:val="20"/>
          <w:szCs w:val="20"/>
          <w:lang w:eastAsia="zh-CN"/>
        </w:rPr>
        <w:t>-e</w:t>
      </w:r>
      <w:r w:rsidR="00F13553">
        <w:rPr>
          <w:sz w:val="20"/>
          <w:szCs w:val="20"/>
          <w:lang w:eastAsia="zh-CN"/>
        </w:rPr>
        <w:t>/RAN1 #105-e</w:t>
      </w:r>
      <w:r w:rsidRPr="00D3765F">
        <w:rPr>
          <w:sz w:val="20"/>
          <w:szCs w:val="20"/>
          <w:lang w:eastAsia="zh-CN"/>
        </w:rPr>
        <w:t xml:space="preserve">, </w:t>
      </w:r>
      <w:proofErr w:type="gramStart"/>
      <w:r w:rsidRPr="00D3765F">
        <w:rPr>
          <w:sz w:val="20"/>
          <w:szCs w:val="20"/>
          <w:lang w:eastAsia="zh-CN"/>
        </w:rPr>
        <w:t>a number of</w:t>
      </w:r>
      <w:proofErr w:type="gramEnd"/>
      <w:r w:rsidRPr="00D3765F">
        <w:rPr>
          <w:sz w:val="20"/>
          <w:szCs w:val="20"/>
          <w:lang w:eastAsia="zh-CN"/>
        </w:rPr>
        <w:t xml:space="preserve"> agreements were reached</w:t>
      </w:r>
      <w:r w:rsidR="00CA449A" w:rsidRPr="00D3765F">
        <w:rPr>
          <w:sz w:val="20"/>
          <w:szCs w:val="20"/>
          <w:lang w:eastAsia="zh-CN"/>
        </w:rPr>
        <w:t xml:space="preserve"> concerning the evaluation methodology for XT study, i</w:t>
      </w:r>
      <w:r w:rsidR="002E2FF6" w:rsidRPr="00D3765F">
        <w:rPr>
          <w:sz w:val="20"/>
          <w:szCs w:val="20"/>
        </w:rPr>
        <w:t xml:space="preserve">n this contribution we provide our views on </w:t>
      </w:r>
      <w:r w:rsidR="00CA449A" w:rsidRPr="00D3765F">
        <w:rPr>
          <w:sz w:val="20"/>
          <w:szCs w:val="20"/>
        </w:rPr>
        <w:t>the open issues.</w:t>
      </w:r>
    </w:p>
    <w:p w14:paraId="377600B7" w14:textId="6C38FA68" w:rsidR="00111EBA" w:rsidRDefault="0036290B" w:rsidP="00111EBA">
      <w:pPr>
        <w:pStyle w:val="Heading1"/>
      </w:pPr>
      <w:r>
        <w:t>Review on agreements on evaluation methodology</w:t>
      </w:r>
    </w:p>
    <w:p w14:paraId="55610736" w14:textId="51DBD0EB" w:rsidR="00E72CBE" w:rsidRPr="00E72CBE" w:rsidRDefault="00E72CBE" w:rsidP="00E72CBE">
      <w:pPr>
        <w:rPr>
          <w:sz w:val="20"/>
          <w:szCs w:val="20"/>
          <w:lang w:eastAsia="x-none"/>
        </w:rPr>
      </w:pPr>
      <w:r w:rsidRPr="00E72CBE">
        <w:rPr>
          <w:sz w:val="20"/>
          <w:szCs w:val="20"/>
          <w:lang w:eastAsia="x-none"/>
        </w:rPr>
        <w:t xml:space="preserve">At </w:t>
      </w:r>
      <w:r>
        <w:rPr>
          <w:sz w:val="20"/>
          <w:szCs w:val="20"/>
          <w:lang w:eastAsia="x-none"/>
        </w:rPr>
        <w:t>RAN1 #104bis-e, the following were agreed:</w:t>
      </w:r>
    </w:p>
    <w:p w14:paraId="157B98C9" w14:textId="77777777" w:rsidR="00E72CBE" w:rsidRPr="00E72CBE" w:rsidRDefault="00E72CBE" w:rsidP="00E72CBE">
      <w:pPr>
        <w:rPr>
          <w:sz w:val="20"/>
          <w:szCs w:val="20"/>
          <w:lang w:eastAsia="x-none"/>
        </w:rPr>
      </w:pPr>
    </w:p>
    <w:p w14:paraId="41A119C8" w14:textId="77777777" w:rsidR="00E72CBE" w:rsidRPr="00E72CBE" w:rsidRDefault="00E72CBE" w:rsidP="00E72CBE">
      <w:pPr>
        <w:rPr>
          <w:sz w:val="20"/>
          <w:szCs w:val="20"/>
          <w:lang w:eastAsia="x-none"/>
        </w:rPr>
      </w:pPr>
      <w:r w:rsidRPr="00E72CBE">
        <w:rPr>
          <w:sz w:val="20"/>
          <w:szCs w:val="20"/>
          <w:highlight w:val="green"/>
          <w:lang w:eastAsia="x-none"/>
        </w:rPr>
        <w:t>Agreement:</w:t>
      </w:r>
      <w:r w:rsidRPr="00E72CBE">
        <w:rPr>
          <w:sz w:val="20"/>
          <w:szCs w:val="20"/>
          <w:lang w:eastAsia="x-none"/>
        </w:rPr>
        <w:t xml:space="preserve"> </w:t>
      </w:r>
    </w:p>
    <w:p w14:paraId="5C66E16D" w14:textId="77777777" w:rsidR="00E72CBE" w:rsidRPr="00E72CBE" w:rsidRDefault="00E72CBE" w:rsidP="00E72CBE">
      <w:pPr>
        <w:rPr>
          <w:sz w:val="20"/>
          <w:szCs w:val="20"/>
          <w:lang w:eastAsia="x-none"/>
        </w:rPr>
      </w:pPr>
      <w:r w:rsidRPr="00E72CBE">
        <w:rPr>
          <w:sz w:val="20"/>
          <w:szCs w:val="20"/>
          <w:lang w:eastAsia="x-none"/>
        </w:rPr>
        <w:t xml:space="preserve">For XR/CG capacity evaluation, when DL and UL performances are evaluated independently, the system capacity for DL capacity and UL capacity are reported respectively. </w:t>
      </w:r>
    </w:p>
    <w:p w14:paraId="71E2EF48" w14:textId="77777777" w:rsidR="00E72CBE" w:rsidRPr="00E72CBE" w:rsidRDefault="00E72CBE" w:rsidP="00E72CBE">
      <w:pPr>
        <w:numPr>
          <w:ilvl w:val="0"/>
          <w:numId w:val="55"/>
        </w:numPr>
        <w:rPr>
          <w:sz w:val="20"/>
          <w:szCs w:val="20"/>
          <w:lang w:eastAsia="x-none"/>
        </w:rPr>
      </w:pPr>
      <w:r w:rsidRPr="00E72CBE">
        <w:rPr>
          <w:sz w:val="20"/>
          <w:szCs w:val="20"/>
          <w:lang w:eastAsia="x-none"/>
        </w:rPr>
        <w:t>FFS whether/how to determine the joint capacity for DL and UL after companies have submitted evaluation results</w:t>
      </w:r>
    </w:p>
    <w:p w14:paraId="5CC71FD2" w14:textId="498A996D" w:rsidR="00E72CBE" w:rsidRDefault="00E72CBE" w:rsidP="00C509CD">
      <w:pPr>
        <w:jc w:val="both"/>
        <w:rPr>
          <w:b/>
          <w:bCs/>
          <w:sz w:val="20"/>
          <w:szCs w:val="20"/>
        </w:rPr>
      </w:pPr>
    </w:p>
    <w:p w14:paraId="64C8D171" w14:textId="0717C5A1" w:rsidR="00E72CBE" w:rsidRDefault="00E72CBE" w:rsidP="00C509CD">
      <w:pPr>
        <w:jc w:val="both"/>
        <w:rPr>
          <w:sz w:val="20"/>
          <w:szCs w:val="20"/>
        </w:rPr>
      </w:pPr>
    </w:p>
    <w:p w14:paraId="1D042CD6" w14:textId="32C499A6" w:rsidR="00792D53" w:rsidRDefault="00E72CBE" w:rsidP="00C509CD">
      <w:pPr>
        <w:jc w:val="both"/>
        <w:rPr>
          <w:sz w:val="20"/>
          <w:szCs w:val="20"/>
        </w:rPr>
      </w:pPr>
      <w:r>
        <w:rPr>
          <w:sz w:val="20"/>
          <w:szCs w:val="20"/>
        </w:rPr>
        <w:t>On the joint capacity determination, since DL and UL performances are evaluated independently, the correlation among DL performance and UL performance at a UE is not visible in the reported evaluation. Logically it is possible a UE may have good DL performance is good</w:t>
      </w:r>
      <w:r w:rsidR="00792D53">
        <w:rPr>
          <w:sz w:val="20"/>
          <w:szCs w:val="20"/>
        </w:rPr>
        <w:t>/poor</w:t>
      </w:r>
      <w:r>
        <w:rPr>
          <w:sz w:val="20"/>
          <w:szCs w:val="20"/>
        </w:rPr>
        <w:t xml:space="preserve"> for a UE, but its UL performance is poor</w:t>
      </w:r>
      <w:r w:rsidR="00792D53">
        <w:rPr>
          <w:sz w:val="20"/>
          <w:szCs w:val="20"/>
        </w:rPr>
        <w:t xml:space="preserve">/good. If such mismatch becomes important in the study, at least the UE dropping, pathloss, shadowing fading, and indoor status etc. for DL evaluation and UL evaluation should be consistent/identical, so the DL performance of a UE and the UL performance of a UE can be properly connected.  </w:t>
      </w:r>
    </w:p>
    <w:p w14:paraId="3B475510" w14:textId="071BEB2D" w:rsidR="004502D2" w:rsidRDefault="004502D2" w:rsidP="00C509CD">
      <w:pPr>
        <w:jc w:val="both"/>
        <w:rPr>
          <w:sz w:val="20"/>
          <w:szCs w:val="20"/>
        </w:rPr>
      </w:pPr>
    </w:p>
    <w:p w14:paraId="5519C163" w14:textId="78B693C3" w:rsidR="004502D2" w:rsidRDefault="004502D2" w:rsidP="00C509CD">
      <w:pPr>
        <w:jc w:val="both"/>
        <w:rPr>
          <w:sz w:val="20"/>
          <w:szCs w:val="20"/>
        </w:rPr>
      </w:pPr>
      <w:r w:rsidRPr="004502D2">
        <w:rPr>
          <w:b/>
          <w:bCs/>
          <w:sz w:val="20"/>
          <w:szCs w:val="20"/>
        </w:rPr>
        <w:t xml:space="preserve">Proposal </w:t>
      </w:r>
      <w:r w:rsidR="00377B86">
        <w:rPr>
          <w:b/>
          <w:bCs/>
          <w:sz w:val="20"/>
          <w:szCs w:val="20"/>
        </w:rPr>
        <w:t>1</w:t>
      </w:r>
      <w:r w:rsidRPr="004502D2">
        <w:rPr>
          <w:b/>
          <w:bCs/>
          <w:sz w:val="20"/>
          <w:szCs w:val="20"/>
        </w:rPr>
        <w:t>:</w:t>
      </w:r>
      <w:r>
        <w:rPr>
          <w:b/>
          <w:bCs/>
          <w:sz w:val="20"/>
          <w:szCs w:val="20"/>
        </w:rPr>
        <w:t xml:space="preserve"> </w:t>
      </w:r>
      <w:r w:rsidRPr="00E72CBE">
        <w:rPr>
          <w:sz w:val="20"/>
          <w:szCs w:val="20"/>
          <w:lang w:eastAsia="x-none"/>
        </w:rPr>
        <w:t>when DL and UL performances are evaluated independently</w:t>
      </w:r>
      <w:r>
        <w:rPr>
          <w:sz w:val="20"/>
          <w:szCs w:val="20"/>
          <w:lang w:eastAsia="x-none"/>
        </w:rPr>
        <w:t xml:space="preserve">, </w:t>
      </w:r>
      <w:r w:rsidRPr="00E72CBE">
        <w:rPr>
          <w:sz w:val="20"/>
          <w:szCs w:val="20"/>
          <w:lang w:eastAsia="x-none"/>
        </w:rPr>
        <w:t>to determine the joint capacity for DL and UL</w:t>
      </w:r>
      <w:r>
        <w:rPr>
          <w:sz w:val="20"/>
          <w:szCs w:val="20"/>
          <w:lang w:eastAsia="x-none"/>
        </w:rPr>
        <w:t xml:space="preserve">, </w:t>
      </w:r>
      <w:r>
        <w:rPr>
          <w:sz w:val="20"/>
          <w:szCs w:val="20"/>
        </w:rPr>
        <w:t>at least the UE dropping, pathloss, shadowing fading, and indoor status etc. for DL evaluation and UL evaluation should be consistent/identical.</w:t>
      </w:r>
    </w:p>
    <w:p w14:paraId="59AB594F" w14:textId="1D8E07F0" w:rsidR="00694E57" w:rsidRDefault="00694E57" w:rsidP="00C509CD">
      <w:pPr>
        <w:jc w:val="both"/>
        <w:rPr>
          <w:sz w:val="20"/>
          <w:szCs w:val="20"/>
        </w:rPr>
      </w:pPr>
    </w:p>
    <w:p w14:paraId="6CD34CAA" w14:textId="07E29DFD" w:rsidR="00694E57" w:rsidRDefault="00694E57" w:rsidP="00C509CD">
      <w:pPr>
        <w:jc w:val="both"/>
        <w:rPr>
          <w:sz w:val="20"/>
          <w:szCs w:val="20"/>
        </w:rPr>
      </w:pPr>
      <w:r>
        <w:rPr>
          <w:sz w:val="20"/>
          <w:szCs w:val="20"/>
        </w:rPr>
        <w:t xml:space="preserve">Besides system capacity and UE power consumption, mobility and coverage are also mentioned in the XR study SID. Note coverage and mobility are very important issues for XR. However, given the time budget the XR study item has, we need to be realistic on what can be achieved. The coverage aspects are already covered in the chosen deployment scenarios, </w:t>
      </w:r>
      <w:proofErr w:type="gramStart"/>
      <w:r>
        <w:rPr>
          <w:sz w:val="20"/>
          <w:szCs w:val="20"/>
        </w:rPr>
        <w:t>i.e.</w:t>
      </w:r>
      <w:proofErr w:type="gramEnd"/>
      <w:r>
        <w:rPr>
          <w:sz w:val="20"/>
          <w:szCs w:val="20"/>
        </w:rPr>
        <w:t xml:space="preserve"> indoor hotspot, </w:t>
      </w:r>
      <w:proofErr w:type="spellStart"/>
      <w:r>
        <w:rPr>
          <w:sz w:val="20"/>
          <w:szCs w:val="20"/>
        </w:rPr>
        <w:t>UMa</w:t>
      </w:r>
      <w:proofErr w:type="spellEnd"/>
      <w:r>
        <w:rPr>
          <w:sz w:val="20"/>
          <w:szCs w:val="20"/>
        </w:rPr>
        <w:t xml:space="preserve"> and dense urban. Study with those scenarios can reveal potential issues in XR application already. Besides, system design achieving low error rate, low latency and high throughput at the same time is challenging enough, making the design even harder is not going to deliver any tangible benefit over conducting design with main goals of improving on system capacity and UE power consumption. </w:t>
      </w:r>
    </w:p>
    <w:p w14:paraId="1BD3AFAE" w14:textId="0F4F969B" w:rsidR="00CD367C" w:rsidRDefault="00CD367C" w:rsidP="00C509CD">
      <w:pPr>
        <w:jc w:val="both"/>
        <w:rPr>
          <w:sz w:val="20"/>
          <w:szCs w:val="20"/>
        </w:rPr>
      </w:pPr>
    </w:p>
    <w:p w14:paraId="7B516809" w14:textId="58239F52" w:rsidR="00377B86" w:rsidRDefault="00377B86" w:rsidP="00C509CD">
      <w:pPr>
        <w:jc w:val="both"/>
        <w:rPr>
          <w:sz w:val="20"/>
          <w:szCs w:val="20"/>
        </w:rPr>
      </w:pPr>
      <w:r>
        <w:rPr>
          <w:sz w:val="20"/>
          <w:szCs w:val="20"/>
        </w:rPr>
        <w:t>At RAN1 #105-e, the following was captured in Chairman’s notes:</w:t>
      </w:r>
    </w:p>
    <w:p w14:paraId="509137A0" w14:textId="77777777" w:rsidR="00377B86" w:rsidRPr="00377B86" w:rsidRDefault="00377B86" w:rsidP="00377B86">
      <w:pPr>
        <w:spacing w:line="252" w:lineRule="auto"/>
        <w:rPr>
          <w:rFonts w:eastAsia="SimSun"/>
          <w:b/>
          <w:bCs/>
          <w:i/>
          <w:iCs/>
          <w:sz w:val="20"/>
          <w:szCs w:val="20"/>
          <w:lang w:eastAsia="zh-CN"/>
        </w:rPr>
      </w:pPr>
      <w:r w:rsidRPr="00377B86">
        <w:rPr>
          <w:b/>
          <w:bCs/>
          <w:i/>
          <w:iCs/>
          <w:sz w:val="20"/>
          <w:szCs w:val="20"/>
        </w:rPr>
        <w:t>For companies to further study and if necessary, discuss in RAN1#106-e</w:t>
      </w:r>
    </w:p>
    <w:p w14:paraId="6E0FCB11" w14:textId="77777777" w:rsidR="00377B86" w:rsidRPr="00377B86" w:rsidRDefault="00377B86" w:rsidP="00377B86">
      <w:pPr>
        <w:spacing w:line="252" w:lineRule="auto"/>
        <w:rPr>
          <w:rFonts w:eastAsia="Malgun Gothic"/>
          <w:i/>
          <w:iCs/>
          <w:sz w:val="20"/>
          <w:szCs w:val="20"/>
        </w:rPr>
      </w:pPr>
      <w:r w:rsidRPr="00377B86">
        <w:rPr>
          <w:b/>
          <w:bCs/>
          <w:i/>
          <w:iCs/>
          <w:sz w:val="20"/>
          <w:szCs w:val="20"/>
        </w:rPr>
        <w:t>(Coverage evaluation methodology)</w:t>
      </w:r>
      <w:r w:rsidRPr="00377B86">
        <w:rPr>
          <w:i/>
          <w:iCs/>
          <w:sz w:val="20"/>
          <w:szCs w:val="20"/>
        </w:rPr>
        <w:t xml:space="preserve"> For XR/CG in DL or UL, coverage is defined to be the A-percentile point in CDF of Coupling gain for the “satisfied” UEs, with #UEs per cell = B, for a given XR application (AR/VR/CG) </w:t>
      </w:r>
      <w:proofErr w:type="gramStart"/>
      <w:r w:rsidRPr="00377B86">
        <w:rPr>
          <w:i/>
          <w:iCs/>
          <w:sz w:val="20"/>
          <w:szCs w:val="20"/>
        </w:rPr>
        <w:t>in a given</w:t>
      </w:r>
      <w:proofErr w:type="gramEnd"/>
      <w:r w:rsidRPr="00377B86">
        <w:rPr>
          <w:i/>
          <w:iCs/>
          <w:sz w:val="20"/>
          <w:szCs w:val="20"/>
        </w:rPr>
        <w:t xml:space="preserve"> deployment scenario (DU/</w:t>
      </w:r>
      <w:proofErr w:type="spellStart"/>
      <w:r w:rsidRPr="00377B86">
        <w:rPr>
          <w:i/>
          <w:iCs/>
          <w:sz w:val="20"/>
          <w:szCs w:val="20"/>
        </w:rPr>
        <w:t>InH</w:t>
      </w:r>
      <w:proofErr w:type="spellEnd"/>
      <w:r w:rsidRPr="00377B86">
        <w:rPr>
          <w:i/>
          <w:iCs/>
          <w:sz w:val="20"/>
          <w:szCs w:val="20"/>
        </w:rPr>
        <w:t>/</w:t>
      </w:r>
      <w:proofErr w:type="spellStart"/>
      <w:r w:rsidRPr="00377B86">
        <w:rPr>
          <w:i/>
          <w:iCs/>
          <w:sz w:val="20"/>
          <w:szCs w:val="20"/>
        </w:rPr>
        <w:t>UMa</w:t>
      </w:r>
      <w:proofErr w:type="spellEnd"/>
      <w:r w:rsidRPr="00377B86">
        <w:rPr>
          <w:i/>
          <w:iCs/>
          <w:sz w:val="20"/>
          <w:szCs w:val="20"/>
        </w:rPr>
        <w:t>)</w:t>
      </w:r>
    </w:p>
    <w:p w14:paraId="6EEE3220" w14:textId="77777777" w:rsidR="00377B86" w:rsidRPr="00377B86" w:rsidRDefault="00377B86" w:rsidP="00377B86">
      <w:pPr>
        <w:numPr>
          <w:ilvl w:val="0"/>
          <w:numId w:val="56"/>
        </w:numPr>
        <w:spacing w:line="252" w:lineRule="auto"/>
        <w:jc w:val="both"/>
        <w:rPr>
          <w:i/>
          <w:iCs/>
          <w:sz w:val="20"/>
          <w:szCs w:val="20"/>
        </w:rPr>
      </w:pPr>
      <w:r w:rsidRPr="00377B86">
        <w:rPr>
          <w:i/>
          <w:iCs/>
          <w:sz w:val="20"/>
          <w:szCs w:val="20"/>
        </w:rPr>
        <w:t>A = [5], other value can also be reported</w:t>
      </w:r>
    </w:p>
    <w:p w14:paraId="4305E5A5" w14:textId="77777777" w:rsidR="00377B86" w:rsidRPr="00377B86" w:rsidRDefault="00377B86" w:rsidP="00377B86">
      <w:pPr>
        <w:numPr>
          <w:ilvl w:val="0"/>
          <w:numId w:val="56"/>
        </w:numPr>
        <w:spacing w:line="252" w:lineRule="auto"/>
        <w:jc w:val="both"/>
        <w:rPr>
          <w:i/>
          <w:iCs/>
          <w:sz w:val="20"/>
          <w:szCs w:val="20"/>
        </w:rPr>
      </w:pPr>
      <w:r w:rsidRPr="00377B86">
        <w:rPr>
          <w:i/>
          <w:iCs/>
          <w:sz w:val="20"/>
          <w:szCs w:val="20"/>
        </w:rPr>
        <w:t xml:space="preserve">FFS: Value of B, </w:t>
      </w:r>
      <w:proofErr w:type="gramStart"/>
      <w:r w:rsidRPr="00377B86">
        <w:rPr>
          <w:i/>
          <w:iCs/>
          <w:color w:val="FF0000"/>
          <w:sz w:val="20"/>
          <w:szCs w:val="20"/>
        </w:rPr>
        <w:t>e.g.</w:t>
      </w:r>
      <w:proofErr w:type="gramEnd"/>
      <w:r w:rsidRPr="00377B86">
        <w:rPr>
          <w:i/>
          <w:iCs/>
          <w:color w:val="FF0000"/>
          <w:sz w:val="20"/>
          <w:szCs w:val="20"/>
        </w:rPr>
        <w:t xml:space="preserve"> B = 1, capacity, etc.</w:t>
      </w:r>
    </w:p>
    <w:p w14:paraId="5447B3B2" w14:textId="77777777" w:rsidR="00377B86" w:rsidRPr="00377B86" w:rsidRDefault="00377B86" w:rsidP="00377B86">
      <w:pPr>
        <w:pStyle w:val="ListParagraph"/>
        <w:numPr>
          <w:ilvl w:val="0"/>
          <w:numId w:val="56"/>
        </w:numPr>
        <w:spacing w:line="252" w:lineRule="auto"/>
        <w:jc w:val="both"/>
        <w:rPr>
          <w:rFonts w:ascii="Times New Roman" w:hAnsi="Times New Roman"/>
          <w:i/>
          <w:iCs/>
          <w:sz w:val="20"/>
          <w:szCs w:val="20"/>
        </w:rPr>
      </w:pPr>
      <w:r w:rsidRPr="00377B86">
        <w:rPr>
          <w:rFonts w:ascii="Times New Roman" w:hAnsi="Times New Roman"/>
          <w:i/>
          <w:iCs/>
          <w:sz w:val="20"/>
          <w:szCs w:val="20"/>
        </w:rPr>
        <w:t>Note: Coupling gain for coverage evaluation is defined as the ratio of received and transmitted power measured in dB, and includes antenna gains, path loss, shadowing, indoor- or body loss, etc. Example of coupling gain can refer to TR 37.910.</w:t>
      </w:r>
    </w:p>
    <w:p w14:paraId="69A3EB92" w14:textId="1113B29D" w:rsidR="00377B86" w:rsidRDefault="00377B86" w:rsidP="00377B86">
      <w:pPr>
        <w:pStyle w:val="ListParagraph"/>
        <w:spacing w:line="252" w:lineRule="auto"/>
        <w:ind w:left="0"/>
        <w:jc w:val="both"/>
        <w:rPr>
          <w:rFonts w:ascii="Times New Roman" w:hAnsi="Times New Roman"/>
          <w:i/>
          <w:iCs/>
          <w:sz w:val="20"/>
          <w:szCs w:val="20"/>
        </w:rPr>
      </w:pPr>
      <w:r w:rsidRPr="00377B86">
        <w:rPr>
          <w:rFonts w:ascii="Times New Roman" w:hAnsi="Times New Roman"/>
          <w:i/>
          <w:iCs/>
          <w:sz w:val="20"/>
          <w:szCs w:val="20"/>
        </w:rPr>
        <w:t>An alternate method could be to use the “traditional” method such as what is used in the CE study/work item.</w:t>
      </w:r>
    </w:p>
    <w:p w14:paraId="3BB7D8AC" w14:textId="70134717" w:rsidR="00377B86" w:rsidRPr="00377B86" w:rsidRDefault="00377B86" w:rsidP="00377B86">
      <w:pPr>
        <w:pStyle w:val="ListParagraph"/>
        <w:spacing w:line="252" w:lineRule="auto"/>
        <w:ind w:left="0"/>
        <w:jc w:val="both"/>
        <w:rPr>
          <w:rFonts w:ascii="Times New Roman" w:hAnsi="Times New Roman"/>
          <w:sz w:val="20"/>
          <w:szCs w:val="20"/>
        </w:rPr>
      </w:pPr>
      <w:r>
        <w:rPr>
          <w:rFonts w:ascii="Times New Roman" w:hAnsi="Times New Roman"/>
          <w:sz w:val="20"/>
          <w:szCs w:val="20"/>
        </w:rPr>
        <w:lastRenderedPageBreak/>
        <w:t>On the table,</w:t>
      </w:r>
      <w:r w:rsidRPr="00377B86">
        <w:rPr>
          <w:rFonts w:ascii="Times New Roman" w:hAnsi="Times New Roman"/>
          <w:sz w:val="20"/>
          <w:szCs w:val="20"/>
        </w:rPr>
        <w:t xml:space="preserve"> there are two approaches for coverage study</w:t>
      </w:r>
      <w:r>
        <w:rPr>
          <w:rFonts w:ascii="Times New Roman" w:hAnsi="Times New Roman"/>
          <w:sz w:val="20"/>
          <w:szCs w:val="20"/>
        </w:rPr>
        <w:t xml:space="preserve"> for XR</w:t>
      </w:r>
      <w:r w:rsidR="00465B92">
        <w:rPr>
          <w:rFonts w:ascii="Times New Roman" w:hAnsi="Times New Roman"/>
          <w:sz w:val="20"/>
          <w:szCs w:val="20"/>
        </w:rPr>
        <w:t>:</w:t>
      </w:r>
      <w:r>
        <w:rPr>
          <w:rFonts w:ascii="Times New Roman" w:hAnsi="Times New Roman"/>
          <w:sz w:val="20"/>
          <w:szCs w:val="20"/>
        </w:rPr>
        <w:t xml:space="preserve"> one is with system level simulation, another is with link level simulation as used in coverage enhancement study item/work item. Due to the multiple flow nature of XR traffic, using a link level simulation requires too many changes in a conventional link simulator</w:t>
      </w:r>
      <w:r w:rsidR="00EE3CD7">
        <w:rPr>
          <w:rFonts w:ascii="Times New Roman" w:hAnsi="Times New Roman"/>
          <w:sz w:val="20"/>
          <w:szCs w:val="20"/>
        </w:rPr>
        <w:t xml:space="preserve">. </w:t>
      </w:r>
      <w:r>
        <w:rPr>
          <w:rFonts w:ascii="Times New Roman" w:hAnsi="Times New Roman"/>
          <w:sz w:val="20"/>
          <w:szCs w:val="20"/>
        </w:rPr>
        <w:t xml:space="preserve">Hence our preference </w:t>
      </w:r>
      <w:r w:rsidR="00335CE8">
        <w:rPr>
          <w:rFonts w:ascii="Times New Roman" w:hAnsi="Times New Roman"/>
          <w:sz w:val="20"/>
          <w:szCs w:val="20"/>
        </w:rPr>
        <w:t>for XR coverage study is to use</w:t>
      </w:r>
      <w:r>
        <w:rPr>
          <w:rFonts w:ascii="Times New Roman" w:hAnsi="Times New Roman"/>
          <w:sz w:val="20"/>
          <w:szCs w:val="20"/>
        </w:rPr>
        <w:t xml:space="preserve"> system level evaluation.</w:t>
      </w:r>
      <w:r w:rsidR="00A76A0C">
        <w:rPr>
          <w:rFonts w:ascii="Times New Roman" w:hAnsi="Times New Roman"/>
          <w:sz w:val="20"/>
          <w:szCs w:val="20"/>
        </w:rPr>
        <w:t xml:space="preserve"> As the value of B (the number of UEs per cell), B=1 or B at the number from capacity evaluation can served different purposes. </w:t>
      </w:r>
      <w:r w:rsidR="006C22AC">
        <w:rPr>
          <w:rFonts w:ascii="Times New Roman" w:hAnsi="Times New Roman"/>
          <w:sz w:val="20"/>
          <w:szCs w:val="20"/>
        </w:rPr>
        <w:t>With B at the capacity number, the evaluation would provide the coupling gain at one load point; with B=1, then the coupling gain for another load point is identified.</w:t>
      </w:r>
    </w:p>
    <w:p w14:paraId="2F47F99B" w14:textId="77777777" w:rsidR="00377B86" w:rsidRDefault="00377B86" w:rsidP="00C509CD">
      <w:pPr>
        <w:jc w:val="both"/>
        <w:rPr>
          <w:sz w:val="20"/>
          <w:szCs w:val="20"/>
        </w:rPr>
      </w:pPr>
    </w:p>
    <w:p w14:paraId="6DD1920B" w14:textId="0E8EF06F" w:rsidR="00CD367C" w:rsidRDefault="00CD367C" w:rsidP="00C509CD">
      <w:pPr>
        <w:jc w:val="both"/>
        <w:rPr>
          <w:sz w:val="20"/>
          <w:szCs w:val="20"/>
        </w:rPr>
      </w:pPr>
      <w:r>
        <w:rPr>
          <w:sz w:val="20"/>
          <w:szCs w:val="20"/>
        </w:rPr>
        <w:t>We have</w:t>
      </w:r>
    </w:p>
    <w:p w14:paraId="1CAA7FCF" w14:textId="25CA4B0E" w:rsidR="00CD367C" w:rsidRPr="007306EE" w:rsidRDefault="00CD367C" w:rsidP="00C509CD">
      <w:pPr>
        <w:jc w:val="both"/>
        <w:rPr>
          <w:sz w:val="20"/>
          <w:szCs w:val="20"/>
        </w:rPr>
      </w:pPr>
      <w:r w:rsidRPr="00CD367C">
        <w:rPr>
          <w:b/>
          <w:bCs/>
          <w:sz w:val="20"/>
          <w:szCs w:val="20"/>
        </w:rPr>
        <w:t xml:space="preserve">Proposal </w:t>
      </w:r>
      <w:r w:rsidR="001A72D1">
        <w:rPr>
          <w:b/>
          <w:bCs/>
          <w:sz w:val="20"/>
          <w:szCs w:val="20"/>
        </w:rPr>
        <w:t>2</w:t>
      </w:r>
      <w:r w:rsidR="00903B12">
        <w:rPr>
          <w:b/>
          <w:bCs/>
          <w:sz w:val="20"/>
          <w:szCs w:val="20"/>
        </w:rPr>
        <w:t>:</w:t>
      </w:r>
      <w:r w:rsidR="00903B12" w:rsidRPr="00CD367C">
        <w:rPr>
          <w:sz w:val="20"/>
          <w:szCs w:val="20"/>
        </w:rPr>
        <w:t xml:space="preserve"> Focus</w:t>
      </w:r>
      <w:r w:rsidRPr="00CD367C">
        <w:rPr>
          <w:sz w:val="20"/>
          <w:szCs w:val="20"/>
        </w:rPr>
        <w:t xml:space="preserve"> the XR study on system capacity and UE power consumption.</w:t>
      </w:r>
      <w:r>
        <w:rPr>
          <w:b/>
          <w:bCs/>
          <w:sz w:val="20"/>
          <w:szCs w:val="20"/>
        </w:rPr>
        <w:t xml:space="preserve"> </w:t>
      </w:r>
      <w:r w:rsidR="007306EE" w:rsidRPr="007306EE">
        <w:rPr>
          <w:sz w:val="20"/>
          <w:szCs w:val="20"/>
        </w:rPr>
        <w:t>For coverage study,</w:t>
      </w:r>
      <w:r w:rsidR="007306EE">
        <w:rPr>
          <w:b/>
          <w:bCs/>
          <w:sz w:val="20"/>
          <w:szCs w:val="20"/>
        </w:rPr>
        <w:t xml:space="preserve"> </w:t>
      </w:r>
      <w:r w:rsidR="007306EE" w:rsidRPr="007306EE">
        <w:rPr>
          <w:sz w:val="20"/>
          <w:szCs w:val="20"/>
        </w:rPr>
        <w:t>system level evaluation is used.</w:t>
      </w:r>
    </w:p>
    <w:p w14:paraId="3B791C03" w14:textId="518C2824" w:rsidR="002E2FF6" w:rsidRPr="001319C4" w:rsidRDefault="00C509CD" w:rsidP="001319C4">
      <w:pPr>
        <w:pStyle w:val="Heading1"/>
        <w:tabs>
          <w:tab w:val="num" w:pos="432"/>
        </w:tabs>
      </w:pPr>
      <w:bookmarkStart w:id="1" w:name="_Toc54284050"/>
      <w:r>
        <w:t>Conclusion</w:t>
      </w:r>
      <w:bookmarkEnd w:id="1"/>
    </w:p>
    <w:p w14:paraId="3BDB350E" w14:textId="350CDD5E" w:rsidR="00C509CD" w:rsidRDefault="00C509CD" w:rsidP="00C509CD">
      <w:pPr>
        <w:rPr>
          <w:sz w:val="20"/>
          <w:szCs w:val="20"/>
        </w:rPr>
      </w:pPr>
      <w:r w:rsidRPr="00C74BBC">
        <w:rPr>
          <w:sz w:val="20"/>
          <w:szCs w:val="20"/>
        </w:rPr>
        <w:t xml:space="preserve">In this contribution we provide our views on </w:t>
      </w:r>
      <w:r w:rsidR="00792D53">
        <w:rPr>
          <w:sz w:val="20"/>
          <w:szCs w:val="20"/>
        </w:rPr>
        <w:t xml:space="preserve">remaining issues in </w:t>
      </w:r>
      <w:r>
        <w:rPr>
          <w:sz w:val="20"/>
          <w:szCs w:val="20"/>
        </w:rPr>
        <w:t xml:space="preserve">XR </w:t>
      </w:r>
      <w:r w:rsidR="00C0131D">
        <w:rPr>
          <w:sz w:val="20"/>
          <w:szCs w:val="20"/>
        </w:rPr>
        <w:t xml:space="preserve">evaluation </w:t>
      </w:r>
      <w:r w:rsidR="0026490A">
        <w:rPr>
          <w:sz w:val="20"/>
          <w:szCs w:val="20"/>
        </w:rPr>
        <w:t>methodology</w:t>
      </w:r>
      <w:r w:rsidRPr="00C74BBC">
        <w:rPr>
          <w:sz w:val="20"/>
          <w:szCs w:val="20"/>
        </w:rPr>
        <w:t>.</w:t>
      </w:r>
      <w:r w:rsidR="00C0131D">
        <w:rPr>
          <w:sz w:val="20"/>
          <w:szCs w:val="20"/>
        </w:rPr>
        <w:t xml:space="preserve"> We have</w:t>
      </w:r>
      <w:r>
        <w:rPr>
          <w:sz w:val="20"/>
          <w:szCs w:val="20"/>
        </w:rPr>
        <w:t xml:space="preserve"> </w:t>
      </w:r>
    </w:p>
    <w:p w14:paraId="69DC0AF0" w14:textId="7EA1F551" w:rsidR="00E11BD4" w:rsidRDefault="00E11BD4" w:rsidP="002E2FF6">
      <w:pPr>
        <w:jc w:val="both"/>
        <w:rPr>
          <w:b/>
          <w:bCs/>
          <w:sz w:val="20"/>
          <w:szCs w:val="20"/>
        </w:rPr>
      </w:pPr>
    </w:p>
    <w:p w14:paraId="7607C2E3" w14:textId="75C594A3" w:rsidR="00381824" w:rsidRDefault="00381824" w:rsidP="00381824">
      <w:pPr>
        <w:jc w:val="both"/>
        <w:rPr>
          <w:sz w:val="20"/>
          <w:szCs w:val="20"/>
        </w:rPr>
      </w:pPr>
      <w:r w:rsidRPr="004502D2">
        <w:rPr>
          <w:b/>
          <w:bCs/>
          <w:sz w:val="20"/>
          <w:szCs w:val="20"/>
        </w:rPr>
        <w:t xml:space="preserve">Proposal </w:t>
      </w:r>
      <w:r w:rsidR="007352B5">
        <w:rPr>
          <w:b/>
          <w:bCs/>
          <w:sz w:val="20"/>
          <w:szCs w:val="20"/>
        </w:rPr>
        <w:t>1</w:t>
      </w:r>
      <w:r w:rsidRPr="004502D2">
        <w:rPr>
          <w:b/>
          <w:bCs/>
          <w:sz w:val="20"/>
          <w:szCs w:val="20"/>
        </w:rPr>
        <w:t>:</w:t>
      </w:r>
      <w:r>
        <w:rPr>
          <w:b/>
          <w:bCs/>
          <w:sz w:val="20"/>
          <w:szCs w:val="20"/>
        </w:rPr>
        <w:t xml:space="preserve"> </w:t>
      </w:r>
      <w:r w:rsidRPr="00E72CBE">
        <w:rPr>
          <w:sz w:val="20"/>
          <w:szCs w:val="20"/>
          <w:lang w:eastAsia="x-none"/>
        </w:rPr>
        <w:t>when DL and UL performances are evaluated independently</w:t>
      </w:r>
      <w:r>
        <w:rPr>
          <w:sz w:val="20"/>
          <w:szCs w:val="20"/>
          <w:lang w:eastAsia="x-none"/>
        </w:rPr>
        <w:t xml:space="preserve">, </w:t>
      </w:r>
      <w:r w:rsidRPr="00E72CBE">
        <w:rPr>
          <w:sz w:val="20"/>
          <w:szCs w:val="20"/>
          <w:lang w:eastAsia="x-none"/>
        </w:rPr>
        <w:t>to determine the joint capacity for DL and UL</w:t>
      </w:r>
      <w:r>
        <w:rPr>
          <w:sz w:val="20"/>
          <w:szCs w:val="20"/>
          <w:lang w:eastAsia="x-none"/>
        </w:rPr>
        <w:t xml:space="preserve">, </w:t>
      </w:r>
      <w:r>
        <w:rPr>
          <w:sz w:val="20"/>
          <w:szCs w:val="20"/>
        </w:rPr>
        <w:t>at least the UE dropping, pathloss, shadowing fading, and indoor status etc. for DL evaluation and UL evaluation should be consistent/identical.</w:t>
      </w:r>
    </w:p>
    <w:p w14:paraId="70637428" w14:textId="77777777" w:rsidR="00CD367C" w:rsidRPr="004502D2" w:rsidRDefault="00CD367C" w:rsidP="00381824">
      <w:pPr>
        <w:jc w:val="both"/>
        <w:rPr>
          <w:b/>
          <w:bCs/>
          <w:sz w:val="20"/>
          <w:szCs w:val="20"/>
        </w:rPr>
      </w:pPr>
    </w:p>
    <w:p w14:paraId="12003863" w14:textId="77777777" w:rsidR="007352B5" w:rsidRPr="007306EE" w:rsidRDefault="00CD367C" w:rsidP="007352B5">
      <w:pPr>
        <w:jc w:val="both"/>
        <w:rPr>
          <w:sz w:val="20"/>
          <w:szCs w:val="20"/>
        </w:rPr>
      </w:pPr>
      <w:r w:rsidRPr="00CD367C">
        <w:rPr>
          <w:b/>
          <w:bCs/>
          <w:sz w:val="20"/>
          <w:szCs w:val="20"/>
        </w:rPr>
        <w:t xml:space="preserve">Proposal </w:t>
      </w:r>
      <w:r w:rsidR="007352B5">
        <w:rPr>
          <w:b/>
          <w:bCs/>
          <w:sz w:val="20"/>
          <w:szCs w:val="20"/>
        </w:rPr>
        <w:t>2</w:t>
      </w:r>
      <w:r w:rsidR="00903B12">
        <w:rPr>
          <w:b/>
          <w:bCs/>
          <w:sz w:val="20"/>
          <w:szCs w:val="20"/>
        </w:rPr>
        <w:t>:</w:t>
      </w:r>
      <w:r w:rsidR="00903B12" w:rsidRPr="00CD367C">
        <w:rPr>
          <w:sz w:val="20"/>
          <w:szCs w:val="20"/>
        </w:rPr>
        <w:t xml:space="preserve"> Focus</w:t>
      </w:r>
      <w:r w:rsidRPr="00CD367C">
        <w:rPr>
          <w:sz w:val="20"/>
          <w:szCs w:val="20"/>
        </w:rPr>
        <w:t xml:space="preserve"> the XR study on system capacity and UE power consumption.</w:t>
      </w:r>
      <w:r>
        <w:rPr>
          <w:b/>
          <w:bCs/>
          <w:sz w:val="20"/>
          <w:szCs w:val="20"/>
        </w:rPr>
        <w:t xml:space="preserve"> </w:t>
      </w:r>
      <w:r w:rsidR="007352B5" w:rsidRPr="007306EE">
        <w:rPr>
          <w:sz w:val="20"/>
          <w:szCs w:val="20"/>
        </w:rPr>
        <w:t>For coverage study,</w:t>
      </w:r>
      <w:r w:rsidR="007352B5">
        <w:rPr>
          <w:b/>
          <w:bCs/>
          <w:sz w:val="20"/>
          <w:szCs w:val="20"/>
        </w:rPr>
        <w:t xml:space="preserve"> </w:t>
      </w:r>
      <w:r w:rsidR="007352B5" w:rsidRPr="007306EE">
        <w:rPr>
          <w:sz w:val="20"/>
          <w:szCs w:val="20"/>
        </w:rPr>
        <w:t>system level evaluation is used.</w:t>
      </w:r>
    </w:p>
    <w:p w14:paraId="5A9F1994" w14:textId="2D7FE710" w:rsidR="00CD367C" w:rsidRPr="00CD367C" w:rsidRDefault="00CD367C" w:rsidP="00CD367C">
      <w:pPr>
        <w:jc w:val="both"/>
        <w:rPr>
          <w:b/>
          <w:bCs/>
          <w:sz w:val="20"/>
          <w:szCs w:val="20"/>
        </w:rPr>
      </w:pPr>
    </w:p>
    <w:p w14:paraId="57AE98CA" w14:textId="30B61023" w:rsidR="00DC020F" w:rsidRPr="00E11BD4" w:rsidRDefault="00DC020F" w:rsidP="00381824">
      <w:pPr>
        <w:overflowPunct w:val="0"/>
        <w:autoSpaceDE w:val="0"/>
        <w:autoSpaceDN w:val="0"/>
        <w:adjustRightInd w:val="0"/>
        <w:spacing w:before="100" w:beforeAutospacing="1" w:after="100" w:afterAutospacing="1"/>
        <w:textAlignment w:val="baseline"/>
        <w:rPr>
          <w:sz w:val="20"/>
          <w:szCs w:val="20"/>
        </w:rPr>
      </w:pPr>
    </w:p>
    <w:sectPr w:rsidR="00DC020F" w:rsidRPr="00E11BD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D8CD5" w14:textId="77777777" w:rsidR="00AC489F" w:rsidRDefault="00AC489F">
      <w:r>
        <w:separator/>
      </w:r>
    </w:p>
  </w:endnote>
  <w:endnote w:type="continuationSeparator" w:id="0">
    <w:p w14:paraId="4B42FA67" w14:textId="77777777" w:rsidR="00AC489F" w:rsidRDefault="00AC4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947F29" w:rsidRDefault="00947F29"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63859" w14:textId="77777777" w:rsidR="00AC489F" w:rsidRDefault="00AC489F">
      <w:r>
        <w:separator/>
      </w:r>
    </w:p>
  </w:footnote>
  <w:footnote w:type="continuationSeparator" w:id="0">
    <w:p w14:paraId="3D467671" w14:textId="77777777" w:rsidR="00AC489F" w:rsidRDefault="00AC4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4C00D40"/>
    <w:lvl w:ilvl="0" w:tplc="D3AAA2CA">
      <w:start w:val="1"/>
      <w:numFmt w:val="bullet"/>
      <w:lvlText w:val="•"/>
      <w:lvlJc w:val="left"/>
      <w:pPr>
        <w:ind w:left="720" w:hanging="360"/>
      </w:pPr>
      <w:rPr>
        <w:sz w:val="28"/>
        <w:szCs w:val="28"/>
      </w:r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056EB40E"/>
    <w:lvl w:ilvl="0">
      <w:start w:val="1"/>
      <w:numFmt w:val="decimal"/>
      <w:lvlText w:val="[%1]"/>
      <w:lvlJc w:val="left"/>
      <w:pPr>
        <w:tabs>
          <w:tab w:val="num" w:pos="567"/>
        </w:tabs>
        <w:ind w:left="567" w:hanging="567"/>
      </w:pPr>
      <w:rPr>
        <w:b w:val="0"/>
        <w:bCs/>
        <w:sz w:val="20"/>
        <w:szCs w:val="20"/>
        <w:lang w:val="en-US"/>
      </w:rPr>
    </w:lvl>
  </w:abstractNum>
  <w:abstractNum w:abstractNumId="2"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8"/>
  </w:num>
  <w:num w:numId="4">
    <w:abstractNumId w:val="50"/>
  </w:num>
  <w:num w:numId="5">
    <w:abstractNumId w:val="31"/>
  </w:num>
  <w:num w:numId="6">
    <w:abstractNumId w:val="37"/>
  </w:num>
  <w:num w:numId="7">
    <w:abstractNumId w:val="32"/>
  </w:num>
  <w:num w:numId="8">
    <w:abstractNumId w:val="48"/>
  </w:num>
  <w:num w:numId="9">
    <w:abstractNumId w:val="23"/>
  </w:num>
  <w:num w:numId="10">
    <w:abstractNumId w:val="9"/>
  </w:num>
  <w:num w:numId="11">
    <w:abstractNumId w:val="16"/>
  </w:num>
  <w:num w:numId="12">
    <w:abstractNumId w:val="3"/>
  </w:num>
  <w:num w:numId="13">
    <w:abstractNumId w:val="11"/>
  </w:num>
  <w:num w:numId="14">
    <w:abstractNumId w:val="42"/>
  </w:num>
  <w:num w:numId="15">
    <w:abstractNumId w:val="29"/>
  </w:num>
  <w:num w:numId="16">
    <w:abstractNumId w:val="5"/>
  </w:num>
  <w:num w:numId="17">
    <w:abstractNumId w:val="7"/>
  </w:num>
  <w:num w:numId="18">
    <w:abstractNumId w:val="44"/>
  </w:num>
  <w:num w:numId="19">
    <w:abstractNumId w:val="27"/>
  </w:num>
  <w:num w:numId="20">
    <w:abstractNumId w:val="33"/>
  </w:num>
  <w:num w:numId="21">
    <w:abstractNumId w:val="18"/>
  </w:num>
  <w:num w:numId="22">
    <w:abstractNumId w:val="17"/>
  </w:num>
  <w:num w:numId="23">
    <w:abstractNumId w:val="15"/>
  </w:num>
  <w:num w:numId="24">
    <w:abstractNumId w:val="24"/>
  </w:num>
  <w:num w:numId="25">
    <w:abstractNumId w:val="34"/>
  </w:num>
  <w:num w:numId="26">
    <w:abstractNumId w:val="46"/>
  </w:num>
  <w:num w:numId="27">
    <w:abstractNumId w:val="25"/>
  </w:num>
  <w:num w:numId="28">
    <w:abstractNumId w:val="19"/>
  </w:num>
  <w:num w:numId="29">
    <w:abstractNumId w:val="22"/>
  </w:num>
  <w:num w:numId="30">
    <w:abstractNumId w:val="38"/>
  </w:num>
  <w:num w:numId="31">
    <w:abstractNumId w:val="28"/>
  </w:num>
  <w:num w:numId="32">
    <w:abstractNumId w:val="10"/>
  </w:num>
  <w:num w:numId="33">
    <w:abstractNumId w:val="26"/>
  </w:num>
  <w:num w:numId="34">
    <w:abstractNumId w:val="36"/>
  </w:num>
  <w:num w:numId="35">
    <w:abstractNumId w:val="12"/>
  </w:num>
  <w:num w:numId="36">
    <w:abstractNumId w:val="20"/>
  </w:num>
  <w:num w:numId="37">
    <w:abstractNumId w:val="51"/>
  </w:num>
  <w:num w:numId="38">
    <w:abstractNumId w:val="45"/>
  </w:num>
  <w:num w:numId="39">
    <w:abstractNumId w:val="49"/>
  </w:num>
  <w:num w:numId="40">
    <w:abstractNumId w:val="21"/>
  </w:num>
  <w:num w:numId="41">
    <w:abstractNumId w:val="39"/>
  </w:num>
  <w:num w:numId="42">
    <w:abstractNumId w:val="6"/>
  </w:num>
  <w:num w:numId="43">
    <w:abstractNumId w:val="55"/>
  </w:num>
  <w:num w:numId="44">
    <w:abstractNumId w:val="41"/>
  </w:num>
  <w:num w:numId="45">
    <w:abstractNumId w:val="2"/>
  </w:num>
  <w:num w:numId="46">
    <w:abstractNumId w:val="4"/>
  </w:num>
  <w:num w:numId="47">
    <w:abstractNumId w:val="53"/>
  </w:num>
  <w:num w:numId="48">
    <w:abstractNumId w:val="13"/>
  </w:num>
  <w:num w:numId="49">
    <w:abstractNumId w:val="43"/>
  </w:num>
  <w:num w:numId="50">
    <w:abstractNumId w:val="35"/>
  </w:num>
  <w:num w:numId="51">
    <w:abstractNumId w:val="40"/>
  </w:num>
  <w:num w:numId="52">
    <w:abstractNumId w:val="54"/>
  </w:num>
  <w:num w:numId="53">
    <w:abstractNumId w:val="30"/>
  </w:num>
  <w:num w:numId="54">
    <w:abstractNumId w:val="52"/>
  </w:num>
  <w:num w:numId="55">
    <w:abstractNumId w:val="47"/>
  </w:num>
  <w:num w:numId="56">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1387F"/>
    <w:rsid w:val="00014532"/>
    <w:rsid w:val="00014D99"/>
    <w:rsid w:val="0003438A"/>
    <w:rsid w:val="00035549"/>
    <w:rsid w:val="00037EAB"/>
    <w:rsid w:val="00042163"/>
    <w:rsid w:val="0005480B"/>
    <w:rsid w:val="000561AF"/>
    <w:rsid w:val="00060C92"/>
    <w:rsid w:val="000830BF"/>
    <w:rsid w:val="00091BB1"/>
    <w:rsid w:val="000927BC"/>
    <w:rsid w:val="00094E17"/>
    <w:rsid w:val="000A245A"/>
    <w:rsid w:val="000B229C"/>
    <w:rsid w:val="000B58B7"/>
    <w:rsid w:val="000D561D"/>
    <w:rsid w:val="000E7520"/>
    <w:rsid w:val="000F584D"/>
    <w:rsid w:val="000F5C8F"/>
    <w:rsid w:val="001071F7"/>
    <w:rsid w:val="00111EBA"/>
    <w:rsid w:val="00115C43"/>
    <w:rsid w:val="001175FC"/>
    <w:rsid w:val="001319C4"/>
    <w:rsid w:val="00137347"/>
    <w:rsid w:val="00147513"/>
    <w:rsid w:val="00155B2E"/>
    <w:rsid w:val="0015659E"/>
    <w:rsid w:val="001579CC"/>
    <w:rsid w:val="00162AE2"/>
    <w:rsid w:val="00164460"/>
    <w:rsid w:val="00177D40"/>
    <w:rsid w:val="00180314"/>
    <w:rsid w:val="001829FB"/>
    <w:rsid w:val="00184F57"/>
    <w:rsid w:val="00191AC5"/>
    <w:rsid w:val="00197D83"/>
    <w:rsid w:val="001A72D1"/>
    <w:rsid w:val="001E45C2"/>
    <w:rsid w:val="001E577E"/>
    <w:rsid w:val="001F678A"/>
    <w:rsid w:val="00212446"/>
    <w:rsid w:val="00214337"/>
    <w:rsid w:val="00215950"/>
    <w:rsid w:val="00222091"/>
    <w:rsid w:val="00227B31"/>
    <w:rsid w:val="00247F55"/>
    <w:rsid w:val="0025204E"/>
    <w:rsid w:val="00253927"/>
    <w:rsid w:val="00256D5F"/>
    <w:rsid w:val="0026490A"/>
    <w:rsid w:val="0029251D"/>
    <w:rsid w:val="00294A97"/>
    <w:rsid w:val="002A1A51"/>
    <w:rsid w:val="002A4243"/>
    <w:rsid w:val="002B20E1"/>
    <w:rsid w:val="002B7720"/>
    <w:rsid w:val="002E2FF6"/>
    <w:rsid w:val="002F0DF5"/>
    <w:rsid w:val="00302343"/>
    <w:rsid w:val="0030347E"/>
    <w:rsid w:val="0030790F"/>
    <w:rsid w:val="0031121B"/>
    <w:rsid w:val="00313841"/>
    <w:rsid w:val="00314A24"/>
    <w:rsid w:val="003151B5"/>
    <w:rsid w:val="00323184"/>
    <w:rsid w:val="003310E2"/>
    <w:rsid w:val="00335CE8"/>
    <w:rsid w:val="0034470A"/>
    <w:rsid w:val="003628D3"/>
    <w:rsid w:val="0036290B"/>
    <w:rsid w:val="00363BD0"/>
    <w:rsid w:val="00377B86"/>
    <w:rsid w:val="00381824"/>
    <w:rsid w:val="003A1D31"/>
    <w:rsid w:val="003A568F"/>
    <w:rsid w:val="003B58BD"/>
    <w:rsid w:val="003C30C5"/>
    <w:rsid w:val="003C620D"/>
    <w:rsid w:val="003C659F"/>
    <w:rsid w:val="003F08EB"/>
    <w:rsid w:val="003F65B2"/>
    <w:rsid w:val="00401B42"/>
    <w:rsid w:val="00426D62"/>
    <w:rsid w:val="00427E7D"/>
    <w:rsid w:val="0044434F"/>
    <w:rsid w:val="00445B16"/>
    <w:rsid w:val="004502D2"/>
    <w:rsid w:val="004603A9"/>
    <w:rsid w:val="00465B92"/>
    <w:rsid w:val="004704E8"/>
    <w:rsid w:val="00471283"/>
    <w:rsid w:val="00475534"/>
    <w:rsid w:val="00482E9F"/>
    <w:rsid w:val="00487A9C"/>
    <w:rsid w:val="004B361A"/>
    <w:rsid w:val="004B7DAD"/>
    <w:rsid w:val="00500506"/>
    <w:rsid w:val="005219D4"/>
    <w:rsid w:val="00531EA4"/>
    <w:rsid w:val="00536CAC"/>
    <w:rsid w:val="0053735D"/>
    <w:rsid w:val="00542884"/>
    <w:rsid w:val="005532EA"/>
    <w:rsid w:val="0055341E"/>
    <w:rsid w:val="00556A60"/>
    <w:rsid w:val="00582E28"/>
    <w:rsid w:val="0058375E"/>
    <w:rsid w:val="0059714F"/>
    <w:rsid w:val="005A2494"/>
    <w:rsid w:val="005B1044"/>
    <w:rsid w:val="005C4FAC"/>
    <w:rsid w:val="005D102C"/>
    <w:rsid w:val="005D7FD5"/>
    <w:rsid w:val="005E299E"/>
    <w:rsid w:val="005E6AAD"/>
    <w:rsid w:val="005F1788"/>
    <w:rsid w:val="005F5221"/>
    <w:rsid w:val="00604D72"/>
    <w:rsid w:val="0061628A"/>
    <w:rsid w:val="00616AD0"/>
    <w:rsid w:val="00623A99"/>
    <w:rsid w:val="00643606"/>
    <w:rsid w:val="0065509D"/>
    <w:rsid w:val="00662970"/>
    <w:rsid w:val="00664345"/>
    <w:rsid w:val="0066738D"/>
    <w:rsid w:val="00670242"/>
    <w:rsid w:val="00673C13"/>
    <w:rsid w:val="006748B6"/>
    <w:rsid w:val="00683DB7"/>
    <w:rsid w:val="00692C6B"/>
    <w:rsid w:val="00694E57"/>
    <w:rsid w:val="006A5011"/>
    <w:rsid w:val="006B6AEA"/>
    <w:rsid w:val="006B7028"/>
    <w:rsid w:val="006C05AD"/>
    <w:rsid w:val="006C12AF"/>
    <w:rsid w:val="006C1E25"/>
    <w:rsid w:val="006C22AC"/>
    <w:rsid w:val="006C71B8"/>
    <w:rsid w:val="006E0CBA"/>
    <w:rsid w:val="006E3331"/>
    <w:rsid w:val="006E6F09"/>
    <w:rsid w:val="006F65CC"/>
    <w:rsid w:val="00705119"/>
    <w:rsid w:val="00723D95"/>
    <w:rsid w:val="007306EE"/>
    <w:rsid w:val="007352B5"/>
    <w:rsid w:val="0074664A"/>
    <w:rsid w:val="0075093C"/>
    <w:rsid w:val="00757E43"/>
    <w:rsid w:val="0076251E"/>
    <w:rsid w:val="00762D3C"/>
    <w:rsid w:val="00767CB7"/>
    <w:rsid w:val="00774EC3"/>
    <w:rsid w:val="007800AB"/>
    <w:rsid w:val="00792D53"/>
    <w:rsid w:val="007934A3"/>
    <w:rsid w:val="00793B7E"/>
    <w:rsid w:val="00794810"/>
    <w:rsid w:val="007A58F9"/>
    <w:rsid w:val="007A78F0"/>
    <w:rsid w:val="007B1DAC"/>
    <w:rsid w:val="007B3767"/>
    <w:rsid w:val="007C286F"/>
    <w:rsid w:val="007D05C2"/>
    <w:rsid w:val="007D602F"/>
    <w:rsid w:val="007E2D88"/>
    <w:rsid w:val="007F3A34"/>
    <w:rsid w:val="0080066E"/>
    <w:rsid w:val="008212CC"/>
    <w:rsid w:val="00831993"/>
    <w:rsid w:val="00846725"/>
    <w:rsid w:val="00855033"/>
    <w:rsid w:val="00855160"/>
    <w:rsid w:val="00857159"/>
    <w:rsid w:val="008617B7"/>
    <w:rsid w:val="0087199A"/>
    <w:rsid w:val="00874B2B"/>
    <w:rsid w:val="008930B9"/>
    <w:rsid w:val="008944E8"/>
    <w:rsid w:val="008A21E1"/>
    <w:rsid w:val="008A54E4"/>
    <w:rsid w:val="008A5DAB"/>
    <w:rsid w:val="008A75FD"/>
    <w:rsid w:val="008B05EF"/>
    <w:rsid w:val="008B23BF"/>
    <w:rsid w:val="008B6EC0"/>
    <w:rsid w:val="008B768E"/>
    <w:rsid w:val="008C21E7"/>
    <w:rsid w:val="008C2490"/>
    <w:rsid w:val="008C6EA6"/>
    <w:rsid w:val="008D3B6D"/>
    <w:rsid w:val="008E039A"/>
    <w:rsid w:val="00903B12"/>
    <w:rsid w:val="00903C77"/>
    <w:rsid w:val="00913715"/>
    <w:rsid w:val="00920EE6"/>
    <w:rsid w:val="00924422"/>
    <w:rsid w:val="00930D28"/>
    <w:rsid w:val="00933EB1"/>
    <w:rsid w:val="009359C4"/>
    <w:rsid w:val="0094322A"/>
    <w:rsid w:val="009439E4"/>
    <w:rsid w:val="00947F29"/>
    <w:rsid w:val="00951798"/>
    <w:rsid w:val="009664F3"/>
    <w:rsid w:val="00975C20"/>
    <w:rsid w:val="009803AD"/>
    <w:rsid w:val="00984EC8"/>
    <w:rsid w:val="00995949"/>
    <w:rsid w:val="009A08C8"/>
    <w:rsid w:val="009A7527"/>
    <w:rsid w:val="009B26C4"/>
    <w:rsid w:val="009B4B93"/>
    <w:rsid w:val="009B6C10"/>
    <w:rsid w:val="009D5DB9"/>
    <w:rsid w:val="009E3B6C"/>
    <w:rsid w:val="009E79B8"/>
    <w:rsid w:val="00A03734"/>
    <w:rsid w:val="00A11741"/>
    <w:rsid w:val="00A11C96"/>
    <w:rsid w:val="00A250A0"/>
    <w:rsid w:val="00A250EF"/>
    <w:rsid w:val="00A26367"/>
    <w:rsid w:val="00A3669B"/>
    <w:rsid w:val="00A5480D"/>
    <w:rsid w:val="00A57DCC"/>
    <w:rsid w:val="00A625F0"/>
    <w:rsid w:val="00A74E28"/>
    <w:rsid w:val="00A76A0C"/>
    <w:rsid w:val="00A83B4A"/>
    <w:rsid w:val="00AA0FDC"/>
    <w:rsid w:val="00AA41D6"/>
    <w:rsid w:val="00AA4285"/>
    <w:rsid w:val="00AB2B44"/>
    <w:rsid w:val="00AB481E"/>
    <w:rsid w:val="00AB4E63"/>
    <w:rsid w:val="00AB76C6"/>
    <w:rsid w:val="00AC489F"/>
    <w:rsid w:val="00AD0C06"/>
    <w:rsid w:val="00AE2323"/>
    <w:rsid w:val="00AE31A0"/>
    <w:rsid w:val="00B00ABA"/>
    <w:rsid w:val="00B0128F"/>
    <w:rsid w:val="00B02FBB"/>
    <w:rsid w:val="00B10999"/>
    <w:rsid w:val="00B1186F"/>
    <w:rsid w:val="00B24935"/>
    <w:rsid w:val="00B312E1"/>
    <w:rsid w:val="00B42B3D"/>
    <w:rsid w:val="00B432EB"/>
    <w:rsid w:val="00B439B7"/>
    <w:rsid w:val="00B551D2"/>
    <w:rsid w:val="00B561A3"/>
    <w:rsid w:val="00B609D6"/>
    <w:rsid w:val="00B83DAD"/>
    <w:rsid w:val="00B864FA"/>
    <w:rsid w:val="00B92182"/>
    <w:rsid w:val="00BA1B2B"/>
    <w:rsid w:val="00BB0B89"/>
    <w:rsid w:val="00BB208A"/>
    <w:rsid w:val="00BB482D"/>
    <w:rsid w:val="00BC1F65"/>
    <w:rsid w:val="00BC6B2A"/>
    <w:rsid w:val="00BD154A"/>
    <w:rsid w:val="00BF04D1"/>
    <w:rsid w:val="00BF44ED"/>
    <w:rsid w:val="00BF5A90"/>
    <w:rsid w:val="00C0131D"/>
    <w:rsid w:val="00C10AFC"/>
    <w:rsid w:val="00C11493"/>
    <w:rsid w:val="00C23AF5"/>
    <w:rsid w:val="00C23BBF"/>
    <w:rsid w:val="00C41C1E"/>
    <w:rsid w:val="00C44B38"/>
    <w:rsid w:val="00C509CD"/>
    <w:rsid w:val="00C5149F"/>
    <w:rsid w:val="00C57B5D"/>
    <w:rsid w:val="00C7263A"/>
    <w:rsid w:val="00C90196"/>
    <w:rsid w:val="00C956F8"/>
    <w:rsid w:val="00CA1CD0"/>
    <w:rsid w:val="00CA449A"/>
    <w:rsid w:val="00CA6283"/>
    <w:rsid w:val="00CB660A"/>
    <w:rsid w:val="00CC6809"/>
    <w:rsid w:val="00CD367C"/>
    <w:rsid w:val="00CD3AF0"/>
    <w:rsid w:val="00D01DE3"/>
    <w:rsid w:val="00D161AB"/>
    <w:rsid w:val="00D17139"/>
    <w:rsid w:val="00D318F4"/>
    <w:rsid w:val="00D3765F"/>
    <w:rsid w:val="00D4257A"/>
    <w:rsid w:val="00D4551F"/>
    <w:rsid w:val="00D4732D"/>
    <w:rsid w:val="00D47B74"/>
    <w:rsid w:val="00D7598B"/>
    <w:rsid w:val="00D77C6E"/>
    <w:rsid w:val="00D80108"/>
    <w:rsid w:val="00D83E40"/>
    <w:rsid w:val="00D86851"/>
    <w:rsid w:val="00D9099D"/>
    <w:rsid w:val="00D97AE1"/>
    <w:rsid w:val="00DA3CFB"/>
    <w:rsid w:val="00DB2BB8"/>
    <w:rsid w:val="00DC020F"/>
    <w:rsid w:val="00DC1BFE"/>
    <w:rsid w:val="00DC79A1"/>
    <w:rsid w:val="00DE759C"/>
    <w:rsid w:val="00DF1052"/>
    <w:rsid w:val="00E007BB"/>
    <w:rsid w:val="00E046C2"/>
    <w:rsid w:val="00E11BD4"/>
    <w:rsid w:val="00E21C50"/>
    <w:rsid w:val="00E24EDC"/>
    <w:rsid w:val="00E307EA"/>
    <w:rsid w:val="00E46BF0"/>
    <w:rsid w:val="00E4793F"/>
    <w:rsid w:val="00E549FD"/>
    <w:rsid w:val="00E606A7"/>
    <w:rsid w:val="00E63B26"/>
    <w:rsid w:val="00E64B52"/>
    <w:rsid w:val="00E72CBE"/>
    <w:rsid w:val="00E76BB3"/>
    <w:rsid w:val="00E77089"/>
    <w:rsid w:val="00E9067F"/>
    <w:rsid w:val="00EA255B"/>
    <w:rsid w:val="00EA386A"/>
    <w:rsid w:val="00EC07A2"/>
    <w:rsid w:val="00EC3652"/>
    <w:rsid w:val="00ED4A0B"/>
    <w:rsid w:val="00EE28B3"/>
    <w:rsid w:val="00EE3CD7"/>
    <w:rsid w:val="00EE503D"/>
    <w:rsid w:val="00EE626C"/>
    <w:rsid w:val="00EF6BCE"/>
    <w:rsid w:val="00F05239"/>
    <w:rsid w:val="00F13553"/>
    <w:rsid w:val="00F148A0"/>
    <w:rsid w:val="00F17001"/>
    <w:rsid w:val="00F17EC0"/>
    <w:rsid w:val="00F30E80"/>
    <w:rsid w:val="00F636F9"/>
    <w:rsid w:val="00F67C5A"/>
    <w:rsid w:val="00F72AFB"/>
    <w:rsid w:val="00F73C50"/>
    <w:rsid w:val="00F82024"/>
    <w:rsid w:val="00F86ED8"/>
    <w:rsid w:val="00F94025"/>
    <w:rsid w:val="00F95AB4"/>
    <w:rsid w:val="00FA195C"/>
    <w:rsid w:val="00FA617A"/>
    <w:rsid w:val="00FC1F6A"/>
    <w:rsid w:val="00FD442F"/>
    <w:rsid w:val="00FE2CC7"/>
    <w:rsid w:val="00FE5268"/>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iPriority w:val="99"/>
    <w:semiHidden/>
    <w:unhideWhenUsed/>
    <w:rsid w:val="00662970"/>
    <w:rPr>
      <w:sz w:val="16"/>
      <w:szCs w:val="16"/>
    </w:rPr>
  </w:style>
  <w:style w:type="paragraph" w:styleId="CommentText">
    <w:name w:val="annotation text"/>
    <w:basedOn w:val="Normal"/>
    <w:link w:val="CommentTextChar"/>
    <w:uiPriority w:val="99"/>
    <w:semiHidden/>
    <w:unhideWhenUsed/>
    <w:rsid w:val="00662970"/>
    <w:rPr>
      <w:sz w:val="20"/>
      <w:szCs w:val="20"/>
    </w:rPr>
  </w:style>
  <w:style w:type="character" w:customStyle="1" w:styleId="CommentTextChar">
    <w:name w:val="Comment Text Char"/>
    <w:basedOn w:val="DefaultParagraphFont"/>
    <w:link w:val="CommentText"/>
    <w:uiPriority w:val="99"/>
    <w:semiHidden/>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62970"/>
    <w:rPr>
      <w:b/>
      <w:bCs/>
    </w:rPr>
  </w:style>
  <w:style w:type="character" w:customStyle="1" w:styleId="CommentSubjectChar">
    <w:name w:val="Comment Subject Char"/>
    <w:basedOn w:val="CommentTextChar"/>
    <w:link w:val="CommentSubject"/>
    <w:uiPriority w:val="99"/>
    <w:semiHidden/>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customStyle="1" w:styleId="CRCoverPage">
    <w:name w:val="CR Cover Page"/>
    <w:link w:val="CRCoverPageZchn"/>
    <w:rsid w:val="00D86851"/>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D86851"/>
    <w:rPr>
      <w:rFonts w:ascii="Arial" w:eastAsiaTheme="minorEastAsia" w:hAnsi="Arial" w:cs="Times New Roman"/>
      <w:sz w:val="20"/>
      <w:szCs w:val="20"/>
      <w:lang w:val="en-GB"/>
    </w:rPr>
  </w:style>
  <w:style w:type="character" w:styleId="Strong">
    <w:name w:val="Strong"/>
    <w:uiPriority w:val="22"/>
    <w:qFormat/>
    <w:rsid w:val="00A11741"/>
    <w:rPr>
      <w:b/>
      <w:bCs/>
    </w:rPr>
  </w:style>
  <w:style w:type="paragraph" w:customStyle="1" w:styleId="xxmsonormal">
    <w:name w:val="x_xmsonormal"/>
    <w:basedOn w:val="Normal"/>
    <w:rsid w:val="00A11741"/>
    <w:rPr>
      <w:rFonts w:ascii="SimSun" w:eastAsia="SimSun" w:hAnsi="SimSun"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989251">
      <w:bodyDiv w:val="1"/>
      <w:marLeft w:val="0"/>
      <w:marRight w:val="0"/>
      <w:marTop w:val="0"/>
      <w:marBottom w:val="0"/>
      <w:divBdr>
        <w:top w:val="none" w:sz="0" w:space="0" w:color="auto"/>
        <w:left w:val="none" w:sz="0" w:space="0" w:color="auto"/>
        <w:bottom w:val="none" w:sz="0" w:space="0" w:color="auto"/>
        <w:right w:val="none" w:sz="0" w:space="0" w:color="auto"/>
      </w:divBdr>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694</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23</cp:revision>
  <dcterms:created xsi:type="dcterms:W3CDTF">2021-05-10T17:40:00Z</dcterms:created>
  <dcterms:modified xsi:type="dcterms:W3CDTF">2021-08-07T02:53:00Z</dcterms:modified>
</cp:coreProperties>
</file>